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5A" w:rsidRDefault="0067715A" w:rsidP="0067715A">
      <w:pPr>
        <w:pStyle w:val="a5"/>
        <w:widowControl w:val="0"/>
        <w:shd w:val="clear" w:color="auto" w:fill="FFFFFF"/>
        <w:overflowPunct w:val="0"/>
        <w:adjustRightInd w:val="0"/>
        <w:snapToGrid w:val="0"/>
        <w:spacing w:before="0" w:after="0" w:line="540" w:lineRule="exact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附件2</w:t>
      </w:r>
    </w:p>
    <w:p w:rsidR="0067715A" w:rsidRDefault="0067715A" w:rsidP="0067715A">
      <w:pPr>
        <w:pStyle w:val="a5"/>
        <w:spacing w:before="0" w:after="0" w:line="540" w:lineRule="exact"/>
        <w:jc w:val="center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2020年北京市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昌平区</w:t>
      </w:r>
      <w:proofErr w:type="gramEnd"/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第二届“英才聚昌”招聘单位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1、北京昌平科技园发展有限公司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2、北京市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昌平区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供销合作联合社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3、北京市昌平房地产开发有限责任公司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4、北京兴昌高科技发展有限公司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5、北京农业嘉年华投资管理有限公司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6、北京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红冶汇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新控股集团有限公司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7、北京宏达兴投资管理有限公司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8、北京市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昌平保障房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建设投资管理有限公司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9、北京昌鑫建设投资有限公司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10、北京铭嘉房地产开发有限公司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11、北京市昌平自来水有限责任公司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12、北京晨光昌盛融资担保有限公司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13、北京市皇城粮油有限责任公司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14、北京永安热力有限公司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15、北京振邦承基开发建设有限公司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16、北京未来科学城发展集团有限公司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17、北京燕龙水务集团有限公司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18、北京品驰医疗设备有限公司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19、北大医疗产业集团有限公司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20、乐普（北京）医疗器械股份有限公司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21、</w:t>
      </w:r>
      <w:r>
        <w:rPr>
          <w:rFonts w:ascii="仿宋_GB2312" w:eastAsia="仿宋_GB2312" w:hAnsi="仿宋_GB2312" w:cs="仿宋_GB2312" w:hint="eastAsia"/>
          <w:sz w:val="32"/>
          <w:szCs w:val="32"/>
        </w:rPr>
        <w:t>泰康健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康产业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投资控股有限公司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22、北京金房暖通节能技术股份有限公司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lastRenderedPageBreak/>
        <w:t>23、北京东华原医疗设备有限责任公司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24、北京煜邦电力技术股份有限公司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25、北京帝测科技股份有限公司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26、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荣盛盟固利新能源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科技有限公司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27、北京世纪沃德生物科技有限公司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28、北京直真科技股份有限公司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29、北京赛科希德科技股份有限公司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30、北京中盾安民分析技术有限公司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31、北京雪迪龙科技股份有限公司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32、有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亿金新材料有限公司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33、北京环鼎科技有限责任公司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34、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北京诚益通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控制工程科技股份有限公司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35、北京安泰钢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超硬材料制品有限责任公司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36、北京东联哈尔仪器制造有限公司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37、北京视睿讯科技有限公司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38、北京集智达智能科技有限责任公司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39、北京盛祥隆生科技有限公司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40、北京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中诺恒康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生物科技有限公司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41、北京鹏宇昌亚环保科技有限公司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42、北京国信安达知识产权代理有限公司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43、北京普利莱基因技术有限公司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44、北京市北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科数字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医疗技术有限公司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45、加美中（北京）科技有限公司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46、北京胜利穆斯林文化园有限公司</w:t>
      </w:r>
    </w:p>
    <w:p w:rsidR="0067715A" w:rsidRDefault="0067715A" w:rsidP="0067715A">
      <w:pPr>
        <w:pStyle w:val="a5"/>
        <w:spacing w:before="0" w:after="0" w:line="540" w:lineRule="exact"/>
        <w:ind w:firstLineChars="190" w:firstLine="638"/>
        <w:jc w:val="both"/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47、北京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慧读优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学外语培训学校有限公司</w:t>
      </w:r>
    </w:p>
    <w:p w:rsidR="00171147" w:rsidRPr="0067715A" w:rsidRDefault="00285273">
      <w:bookmarkStart w:id="0" w:name="_GoBack"/>
      <w:bookmarkEnd w:id="0"/>
    </w:p>
    <w:sectPr w:rsidR="00171147" w:rsidRPr="006771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73" w:rsidRDefault="00285273" w:rsidP="0067715A">
      <w:r>
        <w:separator/>
      </w:r>
    </w:p>
  </w:endnote>
  <w:endnote w:type="continuationSeparator" w:id="0">
    <w:p w:rsidR="00285273" w:rsidRDefault="00285273" w:rsidP="0067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73" w:rsidRDefault="00285273" w:rsidP="0067715A">
      <w:r>
        <w:separator/>
      </w:r>
    </w:p>
  </w:footnote>
  <w:footnote w:type="continuationSeparator" w:id="0">
    <w:p w:rsidR="00285273" w:rsidRDefault="00285273" w:rsidP="00677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FC"/>
    <w:rsid w:val="00285273"/>
    <w:rsid w:val="002D7359"/>
    <w:rsid w:val="00374B56"/>
    <w:rsid w:val="0067715A"/>
    <w:rsid w:val="006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5A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715A"/>
    <w:pPr>
      <w:widowControl/>
      <w:spacing w:before="84" w:after="84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5A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715A"/>
    <w:pPr>
      <w:widowControl/>
      <w:spacing w:before="84" w:after="84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2019-10-15T06:59:00Z</dcterms:created>
  <dcterms:modified xsi:type="dcterms:W3CDTF">2019-10-15T06:59:00Z</dcterms:modified>
</cp:coreProperties>
</file>